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4A2" w:rsidRPr="001434A2" w:rsidRDefault="001434A2" w:rsidP="001434A2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Цветовой круг </w:t>
      </w:r>
      <w:proofErr w:type="spellStart"/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Иттена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 — это базовая схема в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колористике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, созданная швейцарским художником и преподавателем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Иоханнесом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Иттеном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. В 1961 году он подробно описал её принципы в книге «Искусство цвета». Круг помогает систематизировать цвета и подбирать гармоничные сочетания для дизайна, интерьера, моды и других творческих задач.  </w:t>
      </w:r>
    </w:p>
    <w:p w:rsidR="001434A2" w:rsidRPr="001434A2" w:rsidRDefault="001434A2" w:rsidP="00143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857922" wp14:editId="3A4251DC">
            <wp:extent cx="2190750" cy="2190750"/>
            <wp:effectExtent l="0" t="0" r="0" b="0"/>
            <wp:docPr id="1" name="Рисунок 1" descr="Цветовой круг: теория цвета и оттенки Художественное образование, Тени, Подбор цв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Цветовой круг: теория цвета и оттенки Художественное образование, Тени, Подбор цвет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4A2" w:rsidRPr="001434A2" w:rsidRDefault="001434A2" w:rsidP="001434A2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434A2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Как устроен круг</w:t>
      </w:r>
    </w:p>
    <w:p w:rsidR="001434A2" w:rsidRPr="001434A2" w:rsidRDefault="001434A2" w:rsidP="001434A2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sz w:val="24"/>
          <w:szCs w:val="24"/>
          <w:lang w:eastAsia="ru-RU"/>
        </w:rPr>
        <w:t>Схема состоит из 12 основных цветов, расположенных в определённом порядке:</w:t>
      </w:r>
    </w:p>
    <w:p w:rsidR="001434A2" w:rsidRPr="001434A2" w:rsidRDefault="001434A2" w:rsidP="001434A2">
      <w:pPr>
        <w:numPr>
          <w:ilvl w:val="0"/>
          <w:numId w:val="1"/>
        </w:numPr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Первичные (основные) цвета: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жёлтый, красный и синий. Их нельзя получить путём смешивания других цветов.</w:t>
      </w:r>
    </w:p>
    <w:p w:rsidR="001434A2" w:rsidRPr="001434A2" w:rsidRDefault="001434A2" w:rsidP="001434A2">
      <w:pPr>
        <w:numPr>
          <w:ilvl w:val="0"/>
          <w:numId w:val="1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Вторичные цвета: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оранжевый, зелёный и фиолетовый. Их получают при смешивании двух первичных цветов.</w:t>
      </w:r>
    </w:p>
    <w:p w:rsidR="001434A2" w:rsidRPr="001434A2" w:rsidRDefault="001434A2" w:rsidP="001434A2">
      <w:pPr>
        <w:numPr>
          <w:ilvl w:val="0"/>
          <w:numId w:val="1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Третичные цвета: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жёлто-оранжевый, красно-оранжевый, красно-фиолетовый, сине-фиолетовый, сине-зелёный и жёлто-зелёный. Их получают при смешивании первичного и соседнего вторичного цвета.</w:t>
      </w:r>
    </w:p>
    <w:p w:rsidR="001434A2" w:rsidRPr="001434A2" w:rsidRDefault="001434A2" w:rsidP="001434A2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Таким образом, круг наглядно показывает, как цвета связаны между собой: рядом находятся оттенки, которые хорошо дополняют друг друга, а напротив — контрастные пары.  </w:t>
      </w:r>
    </w:p>
    <w:p w:rsidR="001434A2" w:rsidRPr="001434A2" w:rsidRDefault="001434A2" w:rsidP="001434A2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434A2">
        <w:rPr>
          <w:rFonts w:ascii="Arial" w:eastAsia="Times New Roman" w:hAnsi="Arial" w:cs="Arial"/>
          <w:b/>
          <w:bCs/>
          <w:sz w:val="36"/>
          <w:szCs w:val="36"/>
          <w:lang w:eastAsia="ru-RU"/>
        </w:rPr>
        <w:t xml:space="preserve">Для чего он нужен в </w:t>
      </w:r>
      <w:proofErr w:type="spellStart"/>
      <w:r w:rsidRPr="001434A2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колористике</w:t>
      </w:r>
      <w:proofErr w:type="spellEnd"/>
    </w:p>
    <w:p w:rsidR="001434A2" w:rsidRPr="001434A2" w:rsidRDefault="001434A2" w:rsidP="001434A2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Круг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Иттена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 решает несколько задач:</w:t>
      </w:r>
    </w:p>
    <w:p w:rsidR="001434A2" w:rsidRPr="001434A2" w:rsidRDefault="001434A2" w:rsidP="001434A2">
      <w:pPr>
        <w:numPr>
          <w:ilvl w:val="0"/>
          <w:numId w:val="2"/>
        </w:numPr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Помогает подбирать гармоничные сочетания.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Он показывает, какие цвета усиливают друг друга, а какие создают контраст.</w:t>
      </w:r>
    </w:p>
    <w:p w:rsidR="001434A2" w:rsidRPr="001434A2" w:rsidRDefault="001434A2" w:rsidP="001434A2">
      <w:pPr>
        <w:numPr>
          <w:ilvl w:val="0"/>
          <w:numId w:val="2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Позволяет избегать конфликтующих оттенков.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С его помощью можно выстроить целостную и сбалансированную палитру.</w:t>
      </w:r>
    </w:p>
    <w:p w:rsidR="001434A2" w:rsidRPr="001434A2" w:rsidRDefault="001434A2" w:rsidP="001434A2">
      <w:pPr>
        <w:numPr>
          <w:ilvl w:val="0"/>
          <w:numId w:val="2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Служит инструментом для расстановки акцентов.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Контрастные пары (например, комплементарные) привлекают внимание к определённым элементам.</w:t>
      </w:r>
    </w:p>
    <w:p w:rsidR="001434A2" w:rsidRPr="001434A2" w:rsidRDefault="001434A2" w:rsidP="001434A2">
      <w:pPr>
        <w:numPr>
          <w:ilvl w:val="0"/>
          <w:numId w:val="2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Упрощает работу с оттенками.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Круг помогает понять, как из базовых цветов получить более светлые или тёмные тона (через добавление белого или чёрного), а также как варьировать насыщенность.</w:t>
      </w:r>
    </w:p>
    <w:p w:rsidR="001434A2" w:rsidRPr="001434A2" w:rsidRDefault="001434A2" w:rsidP="001434A2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434A2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Основные схемы сочетаний</w:t>
      </w:r>
    </w:p>
    <w:p w:rsidR="001434A2" w:rsidRPr="001434A2" w:rsidRDefault="001434A2" w:rsidP="001434A2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С помощью круга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Иттена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 можно строить разные комбинации цветов. Вот самые распространённые: 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2"/>
        <w:gridCol w:w="3321"/>
        <w:gridCol w:w="4603"/>
      </w:tblGrid>
      <w:tr w:rsidR="001434A2" w:rsidRPr="001434A2" w:rsidTr="001434A2">
        <w:trPr>
          <w:tblHeader/>
          <w:tblCellSpacing w:w="15" w:type="dxa"/>
        </w:trPr>
        <w:tc>
          <w:tcPr>
            <w:tcW w:w="0" w:type="auto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Схема</w:t>
            </w:r>
          </w:p>
        </w:tc>
        <w:tc>
          <w:tcPr>
            <w:tcW w:w="0" w:type="auto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Как найти цвета</w:t>
            </w:r>
          </w:p>
        </w:tc>
        <w:tc>
          <w:tcPr>
            <w:tcW w:w="0" w:type="auto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Для чего подходит</w:t>
            </w:r>
          </w:p>
        </w:tc>
      </w:tr>
      <w:tr w:rsidR="001434A2" w:rsidRPr="001434A2" w:rsidTr="001434A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Комплементарная (контрастная)</w:t>
            </w:r>
          </w:p>
        </w:tc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Два цвета, расположенные друг напротив друга на круге.</w:t>
            </w:r>
          </w:p>
        </w:tc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создания ярких акцентов. Важно не использовать оба цвета в равной пропорции — один лучше сделать основным, а второй — акцентным.</w:t>
            </w:r>
          </w:p>
        </w:tc>
      </w:tr>
      <w:tr w:rsidR="001434A2" w:rsidRPr="001434A2" w:rsidTr="001434A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Аналоговая триада</w:t>
            </w:r>
          </w:p>
        </w:tc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Три-пять цветов, расположенных рядом на круге.</w:t>
            </w:r>
          </w:p>
        </w:tc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спокойной, сдержанной палитры с плавными переходами. Часто используется в интерьере и природных палитрах.</w:t>
            </w:r>
          </w:p>
        </w:tc>
      </w:tr>
      <w:tr w:rsidR="001434A2" w:rsidRPr="001434A2" w:rsidTr="001434A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Классическая триада</w:t>
            </w:r>
          </w:p>
        </w:tc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Три цвета, образующие вершины равностороннего треугольника внутри круга.</w:t>
            </w:r>
          </w:p>
        </w:tc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динамичной и сбалансированной цветовой схемы.</w:t>
            </w:r>
          </w:p>
        </w:tc>
      </w:tr>
      <w:tr w:rsidR="001434A2" w:rsidRPr="001434A2" w:rsidTr="001434A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Контрастная триада</w:t>
            </w:r>
          </w:p>
        </w:tc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Вместо одного из комплементарных цветов берутся два соседних.</w:t>
            </w:r>
          </w:p>
        </w:tc>
        <w:tc>
          <w:tcPr>
            <w:tcW w:w="0" w:type="auto"/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Чтобы приглушить резкий контраст комплементарной схемы или расширить палитру.</w:t>
            </w:r>
          </w:p>
        </w:tc>
      </w:tr>
      <w:tr w:rsidR="001434A2" w:rsidRPr="001434A2" w:rsidTr="001434A2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434A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Тетрада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Четыре цвета, образующие вершины квадрата или прямоугольника внутри круга.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1434A2" w:rsidRPr="001434A2" w:rsidRDefault="001434A2" w:rsidP="001434A2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Для создания разнообразной и насыщенной цветовой схемы </w:t>
            </w:r>
          </w:p>
        </w:tc>
      </w:tr>
    </w:tbl>
    <w:p w:rsidR="001434A2" w:rsidRPr="001434A2" w:rsidRDefault="001434A2" w:rsidP="001434A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84F355" wp14:editId="64E7F340">
            <wp:extent cx="4572000" cy="2895600"/>
            <wp:effectExtent l="0" t="0" r="0" b="0"/>
            <wp:docPr id="2" name="Рисунок 2" descr="https://avatars.mds.yandex.net/i?id=a9b37fa348aa5b0571331f54a86d352641749252-1087837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a9b37fa348aa5b0571331f54a86d352641749252-1087837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4A2" w:rsidRPr="001434A2" w:rsidRDefault="001434A2" w:rsidP="001434A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877BF98" wp14:editId="590F3CE1">
            <wp:extent cx="3829050" cy="3048000"/>
            <wp:effectExtent l="0" t="0" r="0" b="0"/>
            <wp:docPr id="3" name="Рисунок 3" descr="https://avatars.mds.yandex.net/i?id=ebad27661bcaf4761d6dc8c35ccd630e87ef52cb-1764899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i?id=ebad27661bcaf4761d6dc8c35ccd630e87ef52cb-1764899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4A2" w:rsidRPr="001434A2" w:rsidRDefault="001434A2" w:rsidP="001434A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FE2182" wp14:editId="6832E140">
            <wp:extent cx="4572000" cy="2838450"/>
            <wp:effectExtent l="0" t="0" r="0" b="0"/>
            <wp:docPr id="4" name="Рисунок 4" descr="https://avatars.mds.yandex.net/i?id=d77082973b47e0c4cdfbafb72a93181aebe31bdf-412017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rs.mds.yandex.net/i?id=d77082973b47e0c4cdfbafb72a93181aebe31bdf-412017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4A2" w:rsidRPr="001434A2" w:rsidRDefault="001434A2" w:rsidP="001434A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58324C" wp14:editId="63EA2981">
            <wp:extent cx="3048000" cy="3048000"/>
            <wp:effectExtent l="0" t="0" r="0" b="0"/>
            <wp:docPr id="5" name="Рисунок 5" descr="https://avatars.mds.yandex.net/i?id=6f90141541887bd2d38bd88500cc450feb9bb26f-1332954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6f90141541887bd2d38bd88500cc450feb9bb26f-1332954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4A2" w:rsidRPr="001434A2" w:rsidRDefault="001434A2" w:rsidP="001434A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68E5EAE" wp14:editId="13F5A86D">
            <wp:extent cx="4572000" cy="1876425"/>
            <wp:effectExtent l="0" t="0" r="0" b="9525"/>
            <wp:docPr id="6" name="Рисунок 6" descr="https://avatars.mds.yandex.net/i?id=8d1a8537f8fe8a4f3beafdb5a701688780273e7d-523161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vatars.mds.yandex.net/i?id=8d1a8537f8fe8a4f3beafdb5a701688780273e7d-523161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4A2" w:rsidRPr="001434A2" w:rsidRDefault="001434A2" w:rsidP="001434A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D32794" wp14:editId="08F80526">
            <wp:extent cx="4572000" cy="2857500"/>
            <wp:effectExtent l="0" t="0" r="0" b="0"/>
            <wp:docPr id="7" name="Рисунок 7" descr="https://avatars.mds.yandex.net/i?id=ab24f7a871fd876c6fa9c1dc9f78c4e27cb73ccd-527038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vatars.mds.yandex.net/i?id=ab24f7a871fd876c6fa9c1dc9f78c4e27cb73ccd-527038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4A2" w:rsidRPr="001434A2" w:rsidRDefault="001434A2" w:rsidP="001434A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A247F7" wp14:editId="5BCD9775">
            <wp:extent cx="4572000" cy="2286000"/>
            <wp:effectExtent l="0" t="0" r="0" b="0"/>
            <wp:docPr id="8" name="Рисунок 8" descr="https://avatars.mds.yandex.net/i?id=ede63e183fbdbdfc44325f1e4e57ad81e4863857-407935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ede63e183fbdbdfc44325f1e4e57ad81e4863857-407935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4A2" w:rsidRPr="001434A2" w:rsidRDefault="001434A2" w:rsidP="001434A2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434A2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Важные нюансы</w:t>
      </w:r>
    </w:p>
    <w:p w:rsidR="001434A2" w:rsidRPr="001434A2" w:rsidRDefault="001434A2" w:rsidP="001434A2">
      <w:pPr>
        <w:numPr>
          <w:ilvl w:val="0"/>
          <w:numId w:val="3"/>
        </w:numPr>
        <w:spacing w:beforeAutospacing="1" w:after="0" w:afterAutospacing="1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Круг </w:t>
      </w:r>
      <w:proofErr w:type="spellStart"/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Иттена</w:t>
      </w:r>
      <w:proofErr w:type="spellEnd"/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— это упрощённая модель.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 Он не охватывает всё многообразие оттенков, но даёт хорошую основу для понимания принципов гармонии.  </w:t>
      </w:r>
    </w:p>
    <w:p w:rsidR="001434A2" w:rsidRDefault="001434A2" w:rsidP="00463933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Нужно учитывать светлоту, насыщенность и температуру цвета.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Гармония зависит не только от выбора схемы, но и от того, как оттенки работают с фоном, яркостью и психологическим восприятием</w:t>
      </w:r>
    </w:p>
    <w:p w:rsidR="001434A2" w:rsidRPr="001434A2" w:rsidRDefault="001434A2" w:rsidP="001434A2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разных сферах есть свои особенности.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 Например, в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колористике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 при окрашивании волос круг помогает не только подбирать оттенки, но и нейтрализовать нежелательные нюансы с помощью противоположных цветов. </w:t>
      </w:r>
    </w:p>
    <w:p w:rsidR="001434A2" w:rsidRPr="001434A2" w:rsidRDefault="001434A2" w:rsidP="001434A2">
      <w:pPr>
        <w:spacing w:after="0" w:line="330" w:lineRule="atLeast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1434A2" w:rsidRPr="001434A2" w:rsidRDefault="001434A2" w:rsidP="001434A2">
      <w:pPr>
        <w:spacing w:after="0" w:line="330" w:lineRule="atLeast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434A2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Как начать работать с кругом</w:t>
      </w:r>
    </w:p>
    <w:p w:rsidR="001434A2" w:rsidRPr="001434A2" w:rsidRDefault="001434A2" w:rsidP="001434A2">
      <w:pPr>
        <w:numPr>
          <w:ilvl w:val="0"/>
          <w:numId w:val="4"/>
        </w:numPr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Выберите базовый цвет.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 Он может исходить из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брендбука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>, фотографии или желаемого настроения.</w:t>
      </w:r>
    </w:p>
    <w:p w:rsidR="001434A2" w:rsidRPr="001434A2" w:rsidRDefault="001434A2" w:rsidP="001434A2">
      <w:pPr>
        <w:numPr>
          <w:ilvl w:val="0"/>
          <w:numId w:val="4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Определите задачу.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Хотите ли вы спокойствия (аналоговая схема), контраста (комплементарная) или динамики (триады)?</w:t>
      </w:r>
    </w:p>
    <w:p w:rsidR="001434A2" w:rsidRPr="001434A2" w:rsidRDefault="001434A2" w:rsidP="001434A2">
      <w:pPr>
        <w:numPr>
          <w:ilvl w:val="0"/>
          <w:numId w:val="4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Найдите партнёров по схеме.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Используйте геометрические фигуры внутри круга (треугольник, квадрат).</w:t>
      </w:r>
    </w:p>
    <w:p w:rsidR="001434A2" w:rsidRPr="001434A2" w:rsidRDefault="001434A2" w:rsidP="001434A2">
      <w:pPr>
        <w:numPr>
          <w:ilvl w:val="0"/>
          <w:numId w:val="4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Назначьте цветам роли.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Определите, какой цвет будет основным, какой — поддерживающим, а какой — акцентным.</w:t>
      </w:r>
    </w:p>
    <w:p w:rsidR="001434A2" w:rsidRPr="001434A2" w:rsidRDefault="001434A2" w:rsidP="001434A2">
      <w:pPr>
        <w:numPr>
          <w:ilvl w:val="0"/>
          <w:numId w:val="4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Проверьте результат.</w:t>
      </w:r>
      <w:r w:rsidRPr="001434A2">
        <w:rPr>
          <w:rFonts w:ascii="Arial" w:eastAsia="Times New Roman" w:hAnsi="Arial" w:cs="Arial"/>
          <w:sz w:val="24"/>
          <w:szCs w:val="24"/>
          <w:lang w:eastAsia="ru-RU"/>
        </w:rPr>
        <w:t> Оцените сочетание на разных фонах, в разном масштабе и на разных устройствах.</w:t>
      </w:r>
    </w:p>
    <w:p w:rsidR="001434A2" w:rsidRPr="001434A2" w:rsidRDefault="001434A2" w:rsidP="001434A2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 Круг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Иттена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 — это не жёсткий свод правил, а полезный инструмент, который помогает развить </w:t>
      </w:r>
      <w:proofErr w:type="spellStart"/>
      <w:r w:rsidRPr="001434A2">
        <w:rPr>
          <w:rFonts w:ascii="Arial" w:eastAsia="Times New Roman" w:hAnsi="Arial" w:cs="Arial"/>
          <w:sz w:val="24"/>
          <w:szCs w:val="24"/>
          <w:lang w:eastAsia="ru-RU"/>
        </w:rPr>
        <w:t>насмотренность</w:t>
      </w:r>
      <w:proofErr w:type="spellEnd"/>
      <w:r w:rsidRPr="001434A2">
        <w:rPr>
          <w:rFonts w:ascii="Arial" w:eastAsia="Times New Roman" w:hAnsi="Arial" w:cs="Arial"/>
          <w:sz w:val="24"/>
          <w:szCs w:val="24"/>
          <w:lang w:eastAsia="ru-RU"/>
        </w:rPr>
        <w:t xml:space="preserve"> и осознанно работать с цветом.  </w:t>
      </w:r>
    </w:p>
    <w:p w:rsidR="00A53AD6" w:rsidRPr="001434A2" w:rsidRDefault="00A53AD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53AD6" w:rsidRPr="001434A2" w:rsidSect="001434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63D8"/>
    <w:multiLevelType w:val="multilevel"/>
    <w:tmpl w:val="2FD69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B329DD"/>
    <w:multiLevelType w:val="multilevel"/>
    <w:tmpl w:val="821E4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056CE3"/>
    <w:multiLevelType w:val="multilevel"/>
    <w:tmpl w:val="1186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524D1"/>
    <w:multiLevelType w:val="multilevel"/>
    <w:tmpl w:val="4BFE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47"/>
    <w:rsid w:val="001434A2"/>
    <w:rsid w:val="00A53AD6"/>
    <w:rsid w:val="00B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D6F58"/>
  <w15:chartTrackingRefBased/>
  <w15:docId w15:val="{D7030134-599E-4EEF-9636-798A745E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775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4836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3089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342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70344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499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1881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7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7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6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83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68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43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82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51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71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36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39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995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14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6997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7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6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2026-09-17T10:34:00Z</dcterms:created>
  <dcterms:modified xsi:type="dcterms:W3CDTF">2026-09-17T10:36:00Z</dcterms:modified>
</cp:coreProperties>
</file>